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03 – Opis pracovného miesta</w:t>
      </w:r>
    </w:p>
    <w:p>
      <w:r>
        <w:rPr>
          <w:b/>
          <w:color w:val="1F6D70"/>
          <w:sz w:val="24"/>
        </w:rPr>
        <w:t>Prázdny vzor a vyplnený príklad: operátor CNC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DCE6F1"/>
          </w:tcPr>
          <w:p>
            <w:r>
              <w:rPr>
                <w:b/>
                <w:color w:val="17365D"/>
              </w:rPr>
              <w:t xml:space="preserve">Odporúčaný pracovný vzor. </w:t>
            </w:r>
            <w:r>
              <w:t>Zákon pri väčšine dokumentov neurčuje jednotnú formu. Vzor je potrebné prispôsobiť skutočnej organizačnej štruktúre, pracovným miestam, mzdovému systému a zástupcom zamestnancov.</w:t>
            </w:r>
          </w:p>
        </w:tc>
      </w:tr>
    </w:tbl>
    <w:p/>
    <w:p>
      <w:pPr>
        <w:pStyle w:val="Heading1"/>
      </w:pPr>
      <w:r>
        <w:t>A. Prázdny vzor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tblHeader w:val="true"/>
        </w:trPr>
        <w:tc>
          <w:tcPr>
            <w:tcW w:type="dxa" w:w="2835"/>
            <w:shd w:fill="17365D"/>
            <w:vAlign w:val="center"/>
          </w:tcPr>
          <w:p>
            <w:r>
              <w:rPr>
                <w:b/>
                <w:color w:val="FFFFFF"/>
                <w:sz w:val="18"/>
              </w:rPr>
              <w:t>Položka</w:t>
            </w:r>
          </w:p>
        </w:tc>
        <w:tc>
          <w:tcPr>
            <w:tcW w:type="dxa" w:w="6803"/>
            <w:shd w:fill="17365D"/>
            <w:vAlign w:val="center"/>
          </w:tcPr>
          <w:p>
            <w:r>
              <w:rPr>
                <w:b/>
                <w:color w:val="FFFFFF"/>
                <w:sz w:val="18"/>
              </w:rPr>
              <w:t>Údaj</w:t>
            </w:r>
          </w:p>
        </w:tc>
      </w:tr>
      <w:tr>
        <w:tc>
          <w:tcPr>
            <w:tcW w:type="dxa" w:w="2835"/>
            <w:vAlign w:val="center"/>
          </w:tcPr>
          <w:p>
            <w:r>
              <w:rPr>
                <w:sz w:val="18"/>
              </w:rPr>
              <w:t>Kód pracovného miesta</w:t>
            </w:r>
          </w:p>
        </w:tc>
        <w:tc>
          <w:tcPr>
            <w:tcW w:type="dxa" w:w="6803"/>
            <w:vAlign w:val="cente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835"/>
            <w:vAlign w:val="center"/>
          </w:tcPr>
          <w:p>
            <w:r>
              <w:rPr>
                <w:sz w:val="18"/>
              </w:rPr>
              <w:t>Názov pracovného miesta</w:t>
            </w:r>
          </w:p>
        </w:tc>
        <w:tc>
          <w:tcPr>
            <w:tcW w:type="dxa" w:w="6803"/>
            <w:vAlign w:val="cente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835"/>
            <w:vAlign w:val="center"/>
          </w:tcPr>
          <w:p>
            <w:r>
              <w:rPr>
                <w:sz w:val="18"/>
              </w:rPr>
              <w:t>Organizačný útvar</w:t>
            </w:r>
          </w:p>
        </w:tc>
        <w:tc>
          <w:tcPr>
            <w:tcW w:type="dxa" w:w="6803"/>
            <w:vAlign w:val="cente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835"/>
            <w:vAlign w:val="center"/>
          </w:tcPr>
          <w:p>
            <w:r>
              <w:rPr>
                <w:sz w:val="18"/>
              </w:rPr>
              <w:t>Nadriadené pracovné miesto</w:t>
            </w:r>
          </w:p>
        </w:tc>
        <w:tc>
          <w:tcPr>
            <w:tcW w:type="dxa" w:w="6803"/>
            <w:vAlign w:val="cente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835"/>
            <w:vAlign w:val="center"/>
          </w:tcPr>
          <w:p>
            <w:r>
              <w:rPr>
                <w:sz w:val="18"/>
              </w:rPr>
              <w:t>Počet zamestnancov na mieste</w:t>
            </w:r>
          </w:p>
        </w:tc>
        <w:tc>
          <w:tcPr>
            <w:tcW w:type="dxa" w:w="6803"/>
            <w:vAlign w:val="cente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835"/>
            <w:vAlign w:val="center"/>
          </w:tcPr>
          <w:p>
            <w:r>
              <w:rPr>
                <w:sz w:val="18"/>
              </w:rPr>
              <w:t>Dátum spracovania / revízie</w:t>
            </w:r>
          </w:p>
        </w:tc>
        <w:tc>
          <w:tcPr>
            <w:tcW w:type="dxa" w:w="6803"/>
            <w:vAlign w:val="center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835"/>
            <w:vAlign w:val="center"/>
          </w:tcPr>
          <w:p>
            <w:r>
              <w:rPr>
                <w:sz w:val="18"/>
              </w:rPr>
              <w:t>Spracoval / overil</w:t>
            </w:r>
          </w:p>
        </w:tc>
        <w:tc>
          <w:tcPr>
            <w:tcW w:type="dxa" w:w="6803"/>
            <w:vAlign w:val="center"/>
          </w:tcPr>
          <w:p>
            <w:r>
              <w:rPr>
                <w:sz w:val="18"/>
              </w:rPr>
            </w:r>
          </w:p>
        </w:tc>
      </w:tr>
    </w:tbl>
    <w:p>
      <w:pPr>
        <w:pStyle w:val="Heading2"/>
      </w:pPr>
      <w:r>
        <w:t>1. Účel pracovného miesta</w:t>
      </w:r>
    </w:p>
    <w:p>
      <w:r>
        <w:t>Stručne vysvetlite, prečo pracovné miesto existuje a aký výsledok má zabezpečovať.</w:t>
      </w:r>
    </w:p>
    <w:p>
      <w:r>
        <w:br/>
        <w:br/>
      </w:r>
    </w:p>
    <w:p>
      <w:pPr>
        <w:pStyle w:val="Heading2"/>
      </w:pPr>
      <w:r>
        <w:t>2. Hlavné pracovné činnosti</w:t>
      </w:r>
    </w:p>
    <w:p>
      <w:pPr>
        <w:pStyle w:val="ListBullet"/>
      </w:pPr>
      <w:r>
        <w:t xml:space="preserve">☐ </w:t>
      </w:r>
    </w:p>
    <w:p>
      <w:pPr>
        <w:pStyle w:val="ListBullet"/>
      </w:pPr>
      <w:r>
        <w:t xml:space="preserve">☐ </w:t>
      </w:r>
    </w:p>
    <w:p>
      <w:pPr>
        <w:pStyle w:val="ListBullet"/>
      </w:pPr>
      <w:r>
        <w:t xml:space="preserve">☐ </w:t>
      </w:r>
    </w:p>
    <w:p>
      <w:pPr>
        <w:pStyle w:val="ListBullet"/>
      </w:pPr>
      <w:r>
        <w:t xml:space="preserve">☐ </w:t>
      </w:r>
    </w:p>
    <w:p>
      <w:pPr>
        <w:pStyle w:val="ListBullet"/>
      </w:pPr>
      <w:r>
        <w:t xml:space="preserve">☐ </w:t>
      </w:r>
    </w:p>
    <w:p>
      <w:pPr>
        <w:pStyle w:val="Heading2"/>
      </w:pPr>
      <w:r>
        <w:t>3. Požadované vedomosti a zručnosti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tblHeader w:val="true"/>
        </w:trPr>
        <w:tc>
          <w:tcPr>
            <w:tcW w:type="dxa" w:w="3402"/>
            <w:shd w:fill="17365D"/>
            <w:vAlign w:val="center"/>
          </w:tcPr>
          <w:p>
            <w:r>
              <w:rPr>
                <w:b/>
                <w:color w:val="FFFFFF"/>
                <w:sz w:val="17"/>
              </w:rPr>
              <w:t>Oblasť</w:t>
            </w:r>
          </w:p>
        </w:tc>
        <w:tc>
          <w:tcPr>
            <w:tcW w:type="dxa" w:w="6236"/>
            <w:shd w:fill="17365D"/>
            <w:vAlign w:val="center"/>
          </w:tcPr>
          <w:p>
            <w:r>
              <w:rPr>
                <w:b/>
                <w:color w:val="FFFFFF"/>
                <w:sz w:val="17"/>
              </w:rPr>
              <w:t>Požiadavka pracovného miesta</w:t>
            </w:r>
          </w:p>
        </w:tc>
      </w:tr>
      <w:tr>
        <w:tc>
          <w:tcPr>
            <w:tcW w:type="dxa" w:w="3402"/>
            <w:vAlign w:val="center"/>
          </w:tcPr>
          <w:p>
            <w:r>
              <w:rPr>
                <w:sz w:val="17"/>
              </w:rPr>
              <w:t>Odborné vedomosti</w:t>
            </w:r>
          </w:p>
        </w:tc>
        <w:tc>
          <w:tcPr>
            <w:tcW w:type="dxa" w:w="6236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402"/>
            <w:vAlign w:val="center"/>
          </w:tcPr>
          <w:p>
            <w:r>
              <w:rPr>
                <w:sz w:val="17"/>
              </w:rPr>
              <w:t>Komunikačné a medziľudské zručnosti</w:t>
            </w:r>
          </w:p>
        </w:tc>
        <w:tc>
          <w:tcPr>
            <w:tcW w:type="dxa" w:w="6236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402"/>
            <w:vAlign w:val="center"/>
          </w:tcPr>
          <w:p>
            <w:r>
              <w:rPr>
                <w:sz w:val="17"/>
              </w:rPr>
              <w:t>Fyzické zručnosti</w:t>
            </w:r>
          </w:p>
        </w:tc>
        <w:tc>
          <w:tcPr>
            <w:tcW w:type="dxa" w:w="6236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402"/>
            <w:vAlign w:val="center"/>
          </w:tcPr>
          <w:p>
            <w:r>
              <w:rPr>
                <w:sz w:val="17"/>
              </w:rPr>
              <w:t>Organizačné a plánovacie zručnosti</w:t>
            </w:r>
          </w:p>
        </w:tc>
        <w:tc>
          <w:tcPr>
            <w:tcW w:type="dxa" w:w="6236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402"/>
            <w:vAlign w:val="center"/>
          </w:tcPr>
          <w:p>
            <w:r>
              <w:rPr>
                <w:sz w:val="17"/>
              </w:rPr>
              <w:t>Oprávnenia, skúšky, certifikáty</w:t>
            </w:r>
          </w:p>
        </w:tc>
        <w:tc>
          <w:tcPr>
            <w:tcW w:type="dxa" w:w="6236"/>
            <w:vAlign w:val="center"/>
          </w:tcPr>
          <w:p>
            <w:r>
              <w:rPr>
                <w:sz w:val="17"/>
              </w:rPr>
            </w:r>
          </w:p>
        </w:tc>
      </w:tr>
    </w:tbl>
    <w:p>
      <w:pPr>
        <w:pStyle w:val="Heading2"/>
      </w:pPr>
      <w:r>
        <w:t>4. Samostatnosť a rozhodovanie</w:t>
      </w:r>
    </w:p>
    <w:p>
      <w:r>
        <w:t>Uveďte, o čom pracovník rozhoduje samostatne, kedy potrebuje schválenie a aké neštandardné situácie rieši.</w:t>
      </w:r>
    </w:p>
    <w:p>
      <w:r>
        <w:br/>
        <w:br/>
      </w:r>
    </w:p>
    <w:p>
      <w:pPr>
        <w:pStyle w:val="Heading2"/>
      </w:pPr>
      <w:r>
        <w:t>5. Zodpovednosť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tblHeader w:val="true"/>
        </w:trPr>
        <w:tc>
          <w:tcPr>
            <w:tcW w:type="dxa" w:w="3402"/>
            <w:shd w:fill="17365D"/>
            <w:vAlign w:val="center"/>
          </w:tcPr>
          <w:p>
            <w:r>
              <w:rPr>
                <w:b/>
                <w:color w:val="FFFFFF"/>
                <w:sz w:val="17"/>
              </w:rPr>
              <w:t>Oblasť</w:t>
            </w:r>
          </w:p>
        </w:tc>
        <w:tc>
          <w:tcPr>
            <w:tcW w:type="dxa" w:w="6236"/>
            <w:shd w:fill="17365D"/>
            <w:vAlign w:val="center"/>
          </w:tcPr>
          <w:p>
            <w:r>
              <w:rPr>
                <w:b/>
                <w:color w:val="FFFFFF"/>
                <w:sz w:val="17"/>
              </w:rPr>
              <w:t>Rozsah zodpovednosti</w:t>
            </w:r>
          </w:p>
        </w:tc>
      </w:tr>
      <w:tr>
        <w:tc>
          <w:tcPr>
            <w:tcW w:type="dxa" w:w="3402"/>
            <w:vAlign w:val="center"/>
          </w:tcPr>
          <w:p>
            <w:r>
              <w:rPr>
                <w:sz w:val="17"/>
              </w:rPr>
              <w:t>Ľudia a riadenie</w:t>
            </w:r>
          </w:p>
        </w:tc>
        <w:tc>
          <w:tcPr>
            <w:tcW w:type="dxa" w:w="6236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402"/>
            <w:vAlign w:val="center"/>
          </w:tcPr>
          <w:p>
            <w:r>
              <w:rPr>
                <w:sz w:val="17"/>
              </w:rPr>
              <w:t>Finančné prostriedky</w:t>
            </w:r>
          </w:p>
        </w:tc>
        <w:tc>
          <w:tcPr>
            <w:tcW w:type="dxa" w:w="6236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402"/>
            <w:vAlign w:val="center"/>
          </w:tcPr>
          <w:p>
            <w:r>
              <w:rPr>
                <w:sz w:val="17"/>
              </w:rPr>
              <w:t>Hmotné hodnoty</w:t>
            </w:r>
          </w:p>
        </w:tc>
        <w:tc>
          <w:tcPr>
            <w:tcW w:type="dxa" w:w="6236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402"/>
            <w:vAlign w:val="center"/>
          </w:tcPr>
          <w:p>
            <w:r>
              <w:rPr>
                <w:sz w:val="17"/>
              </w:rPr>
              <w:t>Informácie a dokumentácia</w:t>
            </w:r>
          </w:p>
        </w:tc>
        <w:tc>
          <w:tcPr>
            <w:tcW w:type="dxa" w:w="6236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402"/>
            <w:vAlign w:val="center"/>
          </w:tcPr>
          <w:p>
            <w:r>
              <w:rPr>
                <w:sz w:val="17"/>
              </w:rPr>
              <w:t>Kvalita, bezpečnosť a výsledok práce</w:t>
            </w:r>
          </w:p>
        </w:tc>
        <w:tc>
          <w:tcPr>
            <w:tcW w:type="dxa" w:w="6236"/>
            <w:vAlign w:val="center"/>
          </w:tcPr>
          <w:p>
            <w:r>
              <w:rPr>
                <w:sz w:val="17"/>
              </w:rPr>
            </w:r>
          </w:p>
        </w:tc>
      </w:tr>
    </w:tbl>
    <w:p>
      <w:pPr>
        <w:pStyle w:val="Heading2"/>
      </w:pPr>
      <w:r>
        <w:t>6. Namáhavosť a pracovné podmienky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tblHeader w:val="true"/>
        </w:trPr>
        <w:tc>
          <w:tcPr>
            <w:tcW w:type="dxa" w:w="3402"/>
            <w:shd w:fill="17365D"/>
            <w:vAlign w:val="center"/>
          </w:tcPr>
          <w:p>
            <w:r>
              <w:rPr>
                <w:b/>
                <w:color w:val="FFFFFF"/>
                <w:sz w:val="17"/>
              </w:rPr>
              <w:t>Oblasť</w:t>
            </w:r>
          </w:p>
        </w:tc>
        <w:tc>
          <w:tcPr>
            <w:tcW w:type="dxa" w:w="6236"/>
            <w:shd w:fill="17365D"/>
            <w:vAlign w:val="center"/>
          </w:tcPr>
          <w:p>
            <w:r>
              <w:rPr>
                <w:b/>
                <w:color w:val="FFFFFF"/>
                <w:sz w:val="17"/>
              </w:rPr>
              <w:t>Opis</w:t>
            </w:r>
          </w:p>
        </w:tc>
      </w:tr>
      <w:tr>
        <w:tc>
          <w:tcPr>
            <w:tcW w:type="dxa" w:w="3402"/>
            <w:vAlign w:val="center"/>
          </w:tcPr>
          <w:p>
            <w:r>
              <w:rPr>
                <w:sz w:val="17"/>
              </w:rPr>
              <w:t>Fyzická namáhavosť</w:t>
            </w:r>
          </w:p>
        </w:tc>
        <w:tc>
          <w:tcPr>
            <w:tcW w:type="dxa" w:w="6236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402"/>
            <w:vAlign w:val="center"/>
          </w:tcPr>
          <w:p>
            <w:r>
              <w:rPr>
                <w:sz w:val="17"/>
              </w:rPr>
              <w:t>Mentálna namáhavosť</w:t>
            </w:r>
          </w:p>
        </w:tc>
        <w:tc>
          <w:tcPr>
            <w:tcW w:type="dxa" w:w="6236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402"/>
            <w:vAlign w:val="center"/>
          </w:tcPr>
          <w:p>
            <w:r>
              <w:rPr>
                <w:sz w:val="17"/>
              </w:rPr>
              <w:t>Emocionálna namáhavosť</w:t>
            </w:r>
          </w:p>
        </w:tc>
        <w:tc>
          <w:tcPr>
            <w:tcW w:type="dxa" w:w="6236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402"/>
            <w:vAlign w:val="center"/>
          </w:tcPr>
          <w:p>
            <w:r>
              <w:rPr>
                <w:sz w:val="17"/>
              </w:rPr>
              <w:t>Fyzické pracovné prostredie</w:t>
            </w:r>
          </w:p>
        </w:tc>
        <w:tc>
          <w:tcPr>
            <w:tcW w:type="dxa" w:w="6236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402"/>
            <w:vAlign w:val="center"/>
          </w:tcPr>
          <w:p>
            <w:r>
              <w:rPr>
                <w:sz w:val="17"/>
              </w:rPr>
              <w:t>Organizačné podmienky</w:t>
            </w:r>
          </w:p>
        </w:tc>
        <w:tc>
          <w:tcPr>
            <w:tcW w:type="dxa" w:w="6236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402"/>
            <w:vAlign w:val="center"/>
          </w:tcPr>
          <w:p>
            <w:r>
              <w:rPr>
                <w:sz w:val="17"/>
              </w:rPr>
              <w:t>Psychosociálne riziká</w:t>
            </w:r>
          </w:p>
        </w:tc>
        <w:tc>
          <w:tcPr>
            <w:tcW w:type="dxa" w:w="6236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402"/>
            <w:vAlign w:val="center"/>
          </w:tcPr>
          <w:p>
            <w:r>
              <w:rPr>
                <w:sz w:val="17"/>
              </w:rPr>
              <w:t>Pracovný režim</w:t>
            </w:r>
          </w:p>
        </w:tc>
        <w:tc>
          <w:tcPr>
            <w:tcW w:type="dxa" w:w="6236"/>
            <w:vAlign w:val="center"/>
          </w:tcPr>
          <w:p>
            <w:r>
              <w:rPr>
                <w:sz w:val="17"/>
              </w:rPr>
            </w:r>
          </w:p>
        </w:tc>
      </w:tr>
    </w:tbl>
    <w:p>
      <w:pPr>
        <w:pStyle w:val="Heading2"/>
      </w:pPr>
      <w:r>
        <w:t>7. Overenie skutočného obsahu práce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tblHeader w:val="true"/>
        </w:trPr>
        <w:tc>
          <w:tcPr>
            <w:tcW w:type="dxa" w:w="3969"/>
            <w:shd w:fill="17365D"/>
            <w:vAlign w:val="center"/>
          </w:tcPr>
          <w:p>
            <w:r>
              <w:rPr>
                <w:b/>
                <w:color w:val="FFFFFF"/>
                <w:sz w:val="17"/>
              </w:rPr>
              <w:t>Overenie</w:t>
            </w:r>
          </w:p>
        </w:tc>
        <w:tc>
          <w:tcPr>
            <w:tcW w:type="dxa" w:w="5669"/>
            <w:shd w:fill="17365D"/>
            <w:vAlign w:val="center"/>
          </w:tcPr>
          <w:p>
            <w:r>
              <w:rPr>
                <w:b/>
                <w:color w:val="FFFFFF"/>
                <w:sz w:val="17"/>
              </w:rPr>
              <w:t>Meno / dátum / poznámka</w:t>
            </w:r>
          </w:p>
        </w:tc>
      </w:tr>
      <w:tr>
        <w:tc>
          <w:tcPr>
            <w:tcW w:type="dxa" w:w="3969"/>
            <w:vAlign w:val="center"/>
          </w:tcPr>
          <w:p>
            <w:r>
              <w:rPr>
                <w:sz w:val="17"/>
              </w:rPr>
              <w:t>Zamestnanec vykonávajúci prácu</w:t>
            </w:r>
          </w:p>
        </w:tc>
        <w:tc>
          <w:tcPr>
            <w:tcW w:type="dxa" w:w="5669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969"/>
            <w:vAlign w:val="center"/>
          </w:tcPr>
          <w:p>
            <w:r>
              <w:rPr>
                <w:sz w:val="17"/>
              </w:rPr>
              <w:t>Priamy nadriadený</w:t>
            </w:r>
          </w:p>
        </w:tc>
        <w:tc>
          <w:tcPr>
            <w:tcW w:type="dxa" w:w="5669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969"/>
            <w:vAlign w:val="center"/>
          </w:tcPr>
          <w:p>
            <w:r>
              <w:rPr>
                <w:sz w:val="17"/>
              </w:rPr>
              <w:t>Personalista / hodnotiaca skupina</w:t>
            </w:r>
          </w:p>
        </w:tc>
        <w:tc>
          <w:tcPr>
            <w:tcW w:type="dxa" w:w="5669"/>
            <w:vAlign w:val="center"/>
          </w:tcPr>
          <w:p>
            <w:r>
              <w:rPr>
                <w:sz w:val="17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B. Vyplnený modelový príklad – operátor CNC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tblHeader w:val="true"/>
        </w:trPr>
        <w:tc>
          <w:tcPr>
            <w:tcW w:type="dxa" w:w="2835"/>
            <w:shd w:fill="17365D"/>
            <w:vAlign w:val="center"/>
          </w:tcPr>
          <w:p>
            <w:r>
              <w:rPr>
                <w:b/>
                <w:color w:val="FFFFFF"/>
                <w:sz w:val="18"/>
              </w:rPr>
              <w:t>Položka</w:t>
            </w:r>
          </w:p>
        </w:tc>
        <w:tc>
          <w:tcPr>
            <w:tcW w:type="dxa" w:w="6803"/>
            <w:shd w:fill="17365D"/>
            <w:vAlign w:val="center"/>
          </w:tcPr>
          <w:p>
            <w:r>
              <w:rPr>
                <w:b/>
                <w:color w:val="FFFFFF"/>
                <w:sz w:val="18"/>
              </w:rPr>
              <w:t>Údaj</w:t>
            </w:r>
          </w:p>
        </w:tc>
      </w:tr>
      <w:tr>
        <w:tc>
          <w:tcPr>
            <w:tcW w:type="dxa" w:w="2835"/>
            <w:vAlign w:val="center"/>
          </w:tcPr>
          <w:p>
            <w:r>
              <w:rPr>
                <w:sz w:val="18"/>
              </w:rPr>
              <w:t>Kód</w:t>
            </w:r>
          </w:p>
        </w:tc>
        <w:tc>
          <w:tcPr>
            <w:tcW w:type="dxa" w:w="6803"/>
            <w:vAlign w:val="center"/>
          </w:tcPr>
          <w:p>
            <w:r>
              <w:rPr>
                <w:sz w:val="18"/>
              </w:rPr>
              <w:t>V-01</w:t>
            </w:r>
          </w:p>
        </w:tc>
      </w:tr>
      <w:tr>
        <w:tc>
          <w:tcPr>
            <w:tcW w:type="dxa" w:w="2835"/>
            <w:vAlign w:val="center"/>
          </w:tcPr>
          <w:p>
            <w:r>
              <w:rPr>
                <w:sz w:val="18"/>
              </w:rPr>
              <w:t>Názov</w:t>
            </w:r>
          </w:p>
        </w:tc>
        <w:tc>
          <w:tcPr>
            <w:tcW w:type="dxa" w:w="6803"/>
            <w:vAlign w:val="center"/>
          </w:tcPr>
          <w:p>
            <w:r>
              <w:rPr>
                <w:sz w:val="18"/>
              </w:rPr>
              <w:t>Operátor CNC</w:t>
            </w:r>
          </w:p>
        </w:tc>
      </w:tr>
      <w:tr>
        <w:tc>
          <w:tcPr>
            <w:tcW w:type="dxa" w:w="2835"/>
            <w:vAlign w:val="center"/>
          </w:tcPr>
          <w:p>
            <w:r>
              <w:rPr>
                <w:sz w:val="18"/>
              </w:rPr>
              <w:t>Úsek</w:t>
            </w:r>
          </w:p>
        </w:tc>
        <w:tc>
          <w:tcPr>
            <w:tcW w:type="dxa" w:w="6803"/>
            <w:vAlign w:val="center"/>
          </w:tcPr>
          <w:p>
            <w:r>
              <w:rPr>
                <w:sz w:val="18"/>
              </w:rPr>
              <w:t>Strojárska výroba</w:t>
            </w:r>
          </w:p>
        </w:tc>
      </w:tr>
      <w:tr>
        <w:tc>
          <w:tcPr>
            <w:tcW w:type="dxa" w:w="2835"/>
            <w:vAlign w:val="center"/>
          </w:tcPr>
          <w:p>
            <w:r>
              <w:rPr>
                <w:sz w:val="18"/>
              </w:rPr>
              <w:t>Nadriadený</w:t>
            </w:r>
          </w:p>
        </w:tc>
        <w:tc>
          <w:tcPr>
            <w:tcW w:type="dxa" w:w="6803"/>
            <w:vAlign w:val="center"/>
          </w:tcPr>
          <w:p>
            <w:r>
              <w:rPr>
                <w:sz w:val="18"/>
              </w:rPr>
              <w:t>Majster výroby</w:t>
            </w:r>
          </w:p>
        </w:tc>
      </w:tr>
      <w:tr>
        <w:tc>
          <w:tcPr>
            <w:tcW w:type="dxa" w:w="2835"/>
            <w:vAlign w:val="center"/>
          </w:tcPr>
          <w:p>
            <w:r>
              <w:rPr>
                <w:sz w:val="18"/>
              </w:rPr>
              <w:t>Počet zamestnancov</w:t>
            </w:r>
          </w:p>
        </w:tc>
        <w:tc>
          <w:tcPr>
            <w:tcW w:type="dxa" w:w="6803"/>
            <w:vAlign w:val="center"/>
          </w:tcPr>
          <w:p>
            <w:r>
              <w:rPr>
                <w:sz w:val="18"/>
              </w:rPr>
              <w:t>12</w:t>
            </w:r>
          </w:p>
        </w:tc>
      </w:tr>
      <w:tr>
        <w:tc>
          <w:tcPr>
            <w:tcW w:type="dxa" w:w="2835"/>
            <w:vAlign w:val="center"/>
          </w:tcPr>
          <w:p>
            <w:r>
              <w:rPr>
                <w:sz w:val="18"/>
              </w:rPr>
              <w:t>Revízia</w:t>
            </w:r>
          </w:p>
        </w:tc>
        <w:tc>
          <w:tcPr>
            <w:tcW w:type="dxa" w:w="6803"/>
            <w:vAlign w:val="center"/>
          </w:tcPr>
          <w:p>
            <w:r>
              <w:rPr>
                <w:sz w:val="18"/>
              </w:rPr>
              <w:t>31. 7. 2026</w:t>
            </w:r>
          </w:p>
        </w:tc>
      </w:tr>
    </w:tbl>
    <w:p>
      <w:pPr>
        <w:pStyle w:val="Heading2"/>
      </w:pPr>
      <w:r>
        <w:t>Účel pracovného miesta</w:t>
      </w:r>
    </w:p>
    <w:p>
      <w:r>
        <w:t>Samostatne obsluhovať určené CNC obrábacie centrum a vyrábať dielce v požadovanej kvalite, rozmerovej presnosti, čase a pri dodržaní technologických a bezpečnostných postupov.</w:t>
      </w:r>
    </w:p>
    <w:p>
      <w:pPr>
        <w:pStyle w:val="Heading2"/>
      </w:pPr>
      <w:r>
        <w:t>Hlavné činnosti</w:t>
      </w:r>
    </w:p>
    <w:p>
      <w:pPr>
        <w:pStyle w:val="ListBullet"/>
      </w:pPr>
      <w:r>
        <w:t>čítanie výkresovej a technologickej dokumentácie</w:t>
      </w:r>
    </w:p>
    <w:p>
      <w:pPr>
        <w:pStyle w:val="ListBullet"/>
      </w:pPr>
      <w:r>
        <w:t>upnutie obrobku, výber a kontrola nástrojov</w:t>
      </w:r>
    </w:p>
    <w:p>
      <w:pPr>
        <w:pStyle w:val="ListBullet"/>
      </w:pPr>
      <w:r>
        <w:t>spustenie pripraveného programu a vykonávanie povolených korekcií</w:t>
      </w:r>
    </w:p>
    <w:p>
      <w:pPr>
        <w:pStyle w:val="ListBullet"/>
      </w:pPr>
      <w:r>
        <w:t>priebežné meranie rozmerov a evidencia výsledkov</w:t>
      </w:r>
    </w:p>
    <w:p>
      <w:pPr>
        <w:pStyle w:val="ListBullet"/>
      </w:pPr>
      <w:r>
        <w:t>identifikácia bežných odchýlok a odstavenie stroja pri riziku škody</w:t>
      </w:r>
    </w:p>
    <w:p>
      <w:pPr>
        <w:pStyle w:val="ListBullet"/>
      </w:pPr>
      <w:r>
        <w:t>základná údržba, čistenie a evidencia prevádzky stroja</w:t>
      </w:r>
    </w:p>
    <w:p>
      <w:pPr>
        <w:pStyle w:val="Heading2"/>
      </w:pPr>
      <w:r>
        <w:t>Požiadavky a podmienky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tblHeader w:val="true"/>
        </w:trPr>
        <w:tc>
          <w:tcPr>
            <w:tcW w:type="dxa" w:w="2835"/>
            <w:shd w:fill="17365D"/>
            <w:vAlign w:val="center"/>
          </w:tcPr>
          <w:p>
            <w:r>
              <w:rPr>
                <w:b/>
                <w:color w:val="FFFFFF"/>
                <w:sz w:val="17"/>
              </w:rPr>
              <w:t>Oblasť</w:t>
            </w:r>
          </w:p>
        </w:tc>
        <w:tc>
          <w:tcPr>
            <w:tcW w:type="dxa" w:w="6803"/>
            <w:shd w:fill="17365D"/>
            <w:vAlign w:val="center"/>
          </w:tcPr>
          <w:p>
            <w:r>
              <w:rPr>
                <w:b/>
                <w:color w:val="FFFFFF"/>
                <w:sz w:val="17"/>
              </w:rPr>
              <w:t>Modelový opis</w:t>
            </w:r>
          </w:p>
        </w:tc>
      </w:tr>
      <w:tr>
        <w:tc>
          <w:tcPr>
            <w:tcW w:type="dxa" w:w="2835"/>
            <w:vAlign w:val="center"/>
          </w:tcPr>
          <w:p>
            <w:r>
              <w:rPr>
                <w:sz w:val="17"/>
              </w:rPr>
              <w:t>Vedomosti</w:t>
            </w:r>
          </w:p>
        </w:tc>
        <w:tc>
          <w:tcPr>
            <w:tcW w:type="dxa" w:w="6803"/>
            <w:vAlign w:val="center"/>
          </w:tcPr>
          <w:p>
            <w:r>
              <w:rPr>
                <w:sz w:val="17"/>
              </w:rPr>
              <w:t>Technické výkresy, základy obrábania, meradlá, technologické postupy a BOZP.</w:t>
            </w:r>
          </w:p>
        </w:tc>
      </w:tr>
      <w:tr>
        <w:tc>
          <w:tcPr>
            <w:tcW w:type="dxa" w:w="2835"/>
            <w:vAlign w:val="center"/>
          </w:tcPr>
          <w:p>
            <w:r>
              <w:rPr>
                <w:sz w:val="17"/>
              </w:rPr>
              <w:t>Samostatnosť</w:t>
            </w:r>
          </w:p>
        </w:tc>
        <w:tc>
          <w:tcPr>
            <w:tcW w:type="dxa" w:w="6803"/>
            <w:vAlign w:val="center"/>
          </w:tcPr>
          <w:p>
            <w:r>
              <w:rPr>
                <w:sz w:val="17"/>
              </w:rPr>
              <w:t>Samostatná bežná obsluha a korekcie v určenom rozsahu; zásadné zmeny programu schvaľuje technológ.</w:t>
            </w:r>
          </w:p>
        </w:tc>
      </w:tr>
      <w:tr>
        <w:tc>
          <w:tcPr>
            <w:tcW w:type="dxa" w:w="2835"/>
            <w:vAlign w:val="center"/>
          </w:tcPr>
          <w:p>
            <w:r>
              <w:rPr>
                <w:sz w:val="17"/>
              </w:rPr>
              <w:t>Zodpovednosť</w:t>
            </w:r>
          </w:p>
        </w:tc>
        <w:tc>
          <w:tcPr>
            <w:tcW w:type="dxa" w:w="6803"/>
            <w:vAlign w:val="center"/>
          </w:tcPr>
          <w:p>
            <w:r>
              <w:rPr>
                <w:sz w:val="17"/>
              </w:rPr>
              <w:t>Stroj, nástroje, materiál, rozmerová presnosť, evidencia merania a včasné zastavenie výroby pri nezhode.</w:t>
            </w:r>
          </w:p>
        </w:tc>
      </w:tr>
      <w:tr>
        <w:tc>
          <w:tcPr>
            <w:tcW w:type="dxa" w:w="2835"/>
            <w:vAlign w:val="center"/>
          </w:tcPr>
          <w:p>
            <w:r>
              <w:rPr>
                <w:sz w:val="17"/>
              </w:rPr>
              <w:t>Namáhavosť</w:t>
            </w:r>
          </w:p>
        </w:tc>
        <w:tc>
          <w:tcPr>
            <w:tcW w:type="dxa" w:w="6803"/>
            <w:vAlign w:val="center"/>
          </w:tcPr>
          <w:p>
            <w:r>
              <w:rPr>
                <w:sz w:val="17"/>
              </w:rPr>
              <w:t>Dlhodobé sústredenie, opakovaná manipulácia s dielcami, práca postojačky a presné meranie.</w:t>
            </w:r>
          </w:p>
        </w:tc>
      </w:tr>
      <w:tr>
        <w:tc>
          <w:tcPr>
            <w:tcW w:type="dxa" w:w="2835"/>
            <w:vAlign w:val="center"/>
          </w:tcPr>
          <w:p>
            <w:r>
              <w:rPr>
                <w:sz w:val="17"/>
              </w:rPr>
              <w:t>Pracovné podmienky</w:t>
            </w:r>
          </w:p>
        </w:tc>
        <w:tc>
          <w:tcPr>
            <w:tcW w:type="dxa" w:w="6803"/>
            <w:vAlign w:val="center"/>
          </w:tcPr>
          <w:p>
            <w:r>
              <w:rPr>
                <w:sz w:val="17"/>
              </w:rPr>
              <w:t>Dvojzmenná prevádzka, hluk, chladiace emulzie, pohyb v blízkosti obrábacieho zariadenia.</w:t>
            </w:r>
          </w:p>
        </w:tc>
      </w:tr>
      <w:tr>
        <w:tc>
          <w:tcPr>
            <w:tcW w:type="dxa" w:w="2835"/>
            <w:vAlign w:val="center"/>
          </w:tcPr>
          <w:p>
            <w:r>
              <w:rPr>
                <w:sz w:val="17"/>
              </w:rPr>
              <w:t>Komunikácia</w:t>
            </w:r>
          </w:p>
        </w:tc>
        <w:tc>
          <w:tcPr>
            <w:tcW w:type="dxa" w:w="6803"/>
            <w:vAlign w:val="center"/>
          </w:tcPr>
          <w:p>
            <w:r>
              <w:rPr>
                <w:sz w:val="17"/>
              </w:rPr>
              <w:t>Odovzdanie zmeny, hlásenie nezhôd majstrovi, spolupráca s kontrolou kvality a technológom.</w:t>
            </w:r>
          </w:p>
        </w:tc>
      </w:tr>
    </w:tbl>
    <w:p>
      <w:pPr>
        <w:pStyle w:val="Heading2"/>
      </w:pPr>
      <w:r>
        <w:t>Zdroje a právny rámec</w:t>
      </w:r>
    </w:p>
    <w:p>
      <w:r>
        <w:rPr>
          <w:color w:val="555555"/>
          <w:sz w:val="16"/>
        </w:rPr>
        <w:t>Zákon č. 76/2026 Z. z.: https://www.slov-lex.sk/ezbierky/pravne-predpisy/SK/ZZ/2026/76/</w:t>
      </w:r>
    </w:p>
    <w:p>
      <w:r>
        <w:rPr>
          <w:color w:val="555555"/>
          <w:sz w:val="16"/>
        </w:rPr>
        <w:t>Metodika a analytický nástroj MPSVR SR: https://www.employment.gov.sk/sk/ministerstvo/rovnost/odmenovanie/dokumenty.html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07" w:left="1020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555555"/>
        <w:sz w:val="16"/>
      </w:rPr>
      <w:t xml:space="preserve">Modelová spoločnosť STROJMONT, s. r. o.  |  aktualizované 31. 7. 2026  |  </w:t>
    </w:r>
    <w:r>
      <w:t xml:space="preserve">Strana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F6D70"/>
        <w:sz w:val="16"/>
      </w:rPr>
      <w:t>ROVNAKÉ ODMEŇOVANIE  |  pracovný balík Profiúčtovníctvo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65D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eldLabel">
    <w:name w:val="Field Label"/>
    <w:pPr>
      <w:spacing w:after="20"/>
    </w:pPr>
    <w:rPr>
      <w:rFonts w:ascii="Aptos" w:hAnsi="Aptos"/>
      <w:b/>
      <w:color w:val="555555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 opis pracovneho miesta.docx</dc:title>
  <dc:subject>Rovnaké odmeňovanie - pracovný vzor</dc:subject>
  <dc:creator>Profiúčtovníctvo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