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06 – Modelové hodnotenie: operátor CNC</w:t>
      </w:r>
    </w:p>
    <w:p>
      <w:r>
        <w:rPr>
          <w:b/>
          <w:color w:val="1F6D70"/>
          <w:sz w:val="24"/>
        </w:rPr>
        <w:t>Ilustrácia práce s 14 subfaktormi metodiky MPSVR SR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DCE6F1"/>
          </w:tcPr>
          <w:p>
            <w:r>
              <w:rPr>
                <w:b/>
                <w:color w:val="17365D"/>
              </w:rPr>
              <w:t xml:space="preserve">Odporúčaný pracovný vzor. </w:t>
            </w:r>
            <w:r>
              <w:t>Zákon pri väčšine dokumentov neurčuje jednotnú formu. Vzor je potrebné prispôsobiť skutočnej organizačnej štruktúre, pracovným miestam, mzdovému systému a zástupcom zamestnancov.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FF2CC"/>
          </w:tcPr>
          <w:p>
            <w:r>
              <w:t>UPOZORNENIE: Úrovne v tomto príklade sú ilustračné. Nepredstavujú univerzálne hodnotenie profesie operátor CNC. Firma ich musí overiť podľa skutočnej náplne práce a presných opisov úrovní v metodike.</w:t>
            </w:r>
          </w:p>
        </w:tc>
      </w:tr>
    </w:tbl>
    <w:p>
      <w:pPr>
        <w:pStyle w:val="Heading1"/>
      </w:pPr>
      <w:r>
        <w:t>Modelové východisko</w:t>
      </w:r>
    </w:p>
    <w:p>
      <w:r>
        <w:t>Operátor samostatne obsluhuje určené CNC centrum, číta výkresy, upína dielce, vykonáva povolené korekcie, meria výrobky a zodpovedá za stroj, nástroje, materiál a evidenciu merania. Neriadi zamestnancov.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rPr>
          <w:tblHeader w:val="true"/>
        </w:trPr>
        <w:tc>
          <w:tcPr>
            <w:tcW w:type="dxa" w:w="1701"/>
            <w:shd w:fill="17365D"/>
            <w:vAlign w:val="center"/>
          </w:tcPr>
          <w:p>
            <w:r>
              <w:rPr>
                <w:b/>
                <w:color w:val="FFFFFF"/>
                <w:sz w:val="15"/>
              </w:rPr>
              <w:t>Faktor</w:t>
            </w:r>
          </w:p>
        </w:tc>
        <w:tc>
          <w:tcPr>
            <w:tcW w:type="dxa" w:w="2835"/>
            <w:shd w:fill="17365D"/>
            <w:vAlign w:val="center"/>
          </w:tcPr>
          <w:p>
            <w:r>
              <w:rPr>
                <w:b/>
                <w:color w:val="FFFFFF"/>
                <w:sz w:val="15"/>
              </w:rPr>
              <w:t>Subfaktor</w:t>
            </w:r>
          </w:p>
        </w:tc>
        <w:tc>
          <w:tcPr>
            <w:tcW w:type="dxa" w:w="1134"/>
            <w:shd w:fill="17365D"/>
            <w:vAlign w:val="center"/>
          </w:tcPr>
          <w:p>
            <w:r>
              <w:rPr>
                <w:b/>
                <w:color w:val="FFFFFF"/>
                <w:sz w:val="15"/>
              </w:rPr>
              <w:t>Úroveň</w:t>
            </w:r>
          </w:p>
        </w:tc>
        <w:tc>
          <w:tcPr>
            <w:tcW w:type="dxa" w:w="1134"/>
            <w:shd w:fill="17365D"/>
            <w:vAlign w:val="center"/>
          </w:tcPr>
          <w:p>
            <w:r>
              <w:rPr>
                <w:b/>
                <w:color w:val="FFFFFF"/>
                <w:sz w:val="15"/>
              </w:rPr>
              <w:t>Body</w:t>
            </w:r>
          </w:p>
        </w:tc>
        <w:tc>
          <w:tcPr>
            <w:tcW w:type="dxa" w:w="3969"/>
            <w:shd w:fill="17365D"/>
            <w:vAlign w:val="center"/>
          </w:tcPr>
          <w:p>
            <w:r>
              <w:rPr>
                <w:b/>
                <w:color w:val="FFFFFF"/>
                <w:sz w:val="15"/>
              </w:rPr>
              <w:t>Modelové zdôvodnenie</w:t>
            </w:r>
          </w:p>
        </w:tc>
      </w:tr>
      <w:tr>
        <w:tc>
          <w:tcPr>
            <w:tcW w:type="dxa" w:w="1701"/>
            <w:vAlign w:val="center"/>
          </w:tcPr>
          <w:p>
            <w:r>
              <w:rPr>
                <w:sz w:val="15"/>
              </w:rPr>
              <w:t>Zložitosť</w:t>
            </w:r>
          </w:p>
        </w:tc>
        <w:tc>
          <w:tcPr>
            <w:tcW w:type="dxa" w:w="2835"/>
            <w:vAlign w:val="center"/>
          </w:tcPr>
          <w:p>
            <w:r>
              <w:rPr>
                <w:sz w:val="15"/>
              </w:rPr>
              <w:t>Vedomosti</w:t>
            </w:r>
          </w:p>
        </w:tc>
        <w:tc>
          <w:tcPr>
            <w:tcW w:type="dxa" w:w="1134"/>
            <w:vAlign w:val="center"/>
          </w:tcPr>
          <w:p>
            <w:r>
              <w:rPr>
                <w:sz w:val="15"/>
              </w:rPr>
              <w:t>4</w:t>
            </w:r>
          </w:p>
        </w:tc>
        <w:tc>
          <w:tcPr>
            <w:tcW w:type="dxa" w:w="1134"/>
            <w:vAlign w:val="center"/>
          </w:tcPr>
          <w:p>
            <w:r>
              <w:rPr>
                <w:sz w:val="15"/>
              </w:rPr>
              <w:t>60</w:t>
            </w:r>
          </w:p>
        </w:tc>
        <w:tc>
          <w:tcPr>
            <w:tcW w:type="dxa" w:w="3969"/>
            <w:vAlign w:val="center"/>
          </w:tcPr>
          <w:p>
            <w:r>
              <w:rPr>
                <w:sz w:val="15"/>
              </w:rPr>
              <w:t>Technické výkresy, obrábanie, meradlá, postupy a riešenie bežných odchýlok.</w:t>
            </w:r>
          </w:p>
        </w:tc>
      </w:tr>
      <w:tr>
        <w:tc>
          <w:tcPr>
            <w:tcW w:type="dxa" w:w="1701"/>
            <w:vAlign w:val="center"/>
          </w:tcPr>
          <w:p>
            <w:r>
              <w:rPr>
                <w:sz w:val="15"/>
              </w:rPr>
              <w:t>Zložitosť</w:t>
            </w:r>
          </w:p>
        </w:tc>
        <w:tc>
          <w:tcPr>
            <w:tcW w:type="dxa" w:w="2835"/>
            <w:vAlign w:val="center"/>
          </w:tcPr>
          <w:p>
            <w:r>
              <w:rPr>
                <w:sz w:val="15"/>
              </w:rPr>
              <w:t>Komunikačné a medziľudské zručnosti</w:t>
            </w:r>
          </w:p>
        </w:tc>
        <w:tc>
          <w:tcPr>
            <w:tcW w:type="dxa" w:w="1134"/>
            <w:vAlign w:val="center"/>
          </w:tcPr>
          <w:p>
            <w:r>
              <w:rPr>
                <w:sz w:val="15"/>
              </w:rPr>
              <w:t>2</w:t>
            </w:r>
          </w:p>
        </w:tc>
        <w:tc>
          <w:tcPr>
            <w:tcW w:type="dxa" w:w="1134"/>
            <w:vAlign w:val="center"/>
          </w:tcPr>
          <w:p>
            <w:r>
              <w:rPr>
                <w:sz w:val="15"/>
              </w:rPr>
              <w:t>28</w:t>
            </w:r>
          </w:p>
        </w:tc>
        <w:tc>
          <w:tcPr>
            <w:tcW w:type="dxa" w:w="3969"/>
            <w:vAlign w:val="center"/>
          </w:tcPr>
          <w:p>
            <w:r>
              <w:rPr>
                <w:sz w:val="15"/>
              </w:rPr>
              <w:t>Bežné odovzdanie zmeny a vecná komunikácia s majstrom, kvalitou a technológom.</w:t>
            </w:r>
          </w:p>
        </w:tc>
      </w:tr>
      <w:tr>
        <w:tc>
          <w:tcPr>
            <w:tcW w:type="dxa" w:w="1701"/>
            <w:vAlign w:val="center"/>
          </w:tcPr>
          <w:p>
            <w:r>
              <w:rPr>
                <w:sz w:val="15"/>
              </w:rPr>
              <w:t>Zložitosť</w:t>
            </w:r>
          </w:p>
        </w:tc>
        <w:tc>
          <w:tcPr>
            <w:tcW w:type="dxa" w:w="2835"/>
            <w:vAlign w:val="center"/>
          </w:tcPr>
          <w:p>
            <w:r>
              <w:rPr>
                <w:sz w:val="15"/>
              </w:rPr>
              <w:t>Fyzické zručnosti</w:t>
            </w:r>
          </w:p>
        </w:tc>
        <w:tc>
          <w:tcPr>
            <w:tcW w:type="dxa" w:w="1134"/>
            <w:vAlign w:val="center"/>
          </w:tcPr>
          <w:p>
            <w:r>
              <w:rPr>
                <w:sz w:val="15"/>
              </w:rPr>
              <w:t>4</w:t>
            </w:r>
          </w:p>
        </w:tc>
        <w:tc>
          <w:tcPr>
            <w:tcW w:type="dxa" w:w="1134"/>
            <w:vAlign w:val="center"/>
          </w:tcPr>
          <w:p>
            <w:r>
              <w:rPr>
                <w:sz w:val="15"/>
              </w:rPr>
              <w:t>56</w:t>
            </w:r>
          </w:p>
        </w:tc>
        <w:tc>
          <w:tcPr>
            <w:tcW w:type="dxa" w:w="3969"/>
            <w:vAlign w:val="center"/>
          </w:tcPr>
          <w:p>
            <w:r>
              <w:rPr>
                <w:sz w:val="15"/>
              </w:rPr>
              <w:t>Presná manipulácia, upínanie, meranie a bezpečná obsluha stroja.</w:t>
            </w:r>
          </w:p>
        </w:tc>
      </w:tr>
      <w:tr>
        <w:tc>
          <w:tcPr>
            <w:tcW w:type="dxa" w:w="1701"/>
            <w:vAlign w:val="center"/>
          </w:tcPr>
          <w:p>
            <w:r>
              <w:rPr>
                <w:sz w:val="15"/>
              </w:rPr>
              <w:t>Zložitosť</w:t>
            </w:r>
          </w:p>
        </w:tc>
        <w:tc>
          <w:tcPr>
            <w:tcW w:type="dxa" w:w="2835"/>
            <w:vAlign w:val="center"/>
          </w:tcPr>
          <w:p>
            <w:r>
              <w:rPr>
                <w:sz w:val="15"/>
              </w:rPr>
              <w:t>Organizačné a plánovacie zručnosti</w:t>
            </w:r>
          </w:p>
        </w:tc>
        <w:tc>
          <w:tcPr>
            <w:tcW w:type="dxa" w:w="1134"/>
            <w:vAlign w:val="center"/>
          </w:tcPr>
          <w:p>
            <w:r>
              <w:rPr>
                <w:sz w:val="15"/>
              </w:rPr>
              <w:t>3</w:t>
            </w:r>
          </w:p>
        </w:tc>
        <w:tc>
          <w:tcPr>
            <w:tcW w:type="dxa" w:w="1134"/>
            <w:vAlign w:val="center"/>
          </w:tcPr>
          <w:p>
            <w:r>
              <w:rPr>
                <w:sz w:val="15"/>
              </w:rPr>
              <w:t>42</w:t>
            </w:r>
          </w:p>
        </w:tc>
        <w:tc>
          <w:tcPr>
            <w:tcW w:type="dxa" w:w="3969"/>
            <w:vAlign w:val="center"/>
          </w:tcPr>
          <w:p>
            <w:r>
              <w:rPr>
                <w:sz w:val="15"/>
              </w:rPr>
              <w:t>Organizácia vlastnej práce, nástrojov, merania a priebehu zákazky.</w:t>
            </w:r>
          </w:p>
        </w:tc>
      </w:tr>
      <w:tr>
        <w:tc>
          <w:tcPr>
            <w:tcW w:type="dxa" w:w="1701"/>
            <w:vAlign w:val="center"/>
          </w:tcPr>
          <w:p>
            <w:r>
              <w:rPr>
                <w:sz w:val="15"/>
              </w:rPr>
              <w:t>Namáhavosť</w:t>
            </w:r>
          </w:p>
        </w:tc>
        <w:tc>
          <w:tcPr>
            <w:tcW w:type="dxa" w:w="2835"/>
            <w:vAlign w:val="center"/>
          </w:tcPr>
          <w:p>
            <w:r>
              <w:rPr>
                <w:sz w:val="15"/>
              </w:rPr>
              <w:t>Fyzická</w:t>
            </w:r>
          </w:p>
        </w:tc>
        <w:tc>
          <w:tcPr>
            <w:tcW w:type="dxa" w:w="1134"/>
            <w:vAlign w:val="center"/>
          </w:tcPr>
          <w:p>
            <w:r>
              <w:rPr>
                <w:sz w:val="15"/>
              </w:rPr>
              <w:t>3</w:t>
            </w:r>
          </w:p>
        </w:tc>
        <w:tc>
          <w:tcPr>
            <w:tcW w:type="dxa" w:w="1134"/>
            <w:vAlign w:val="center"/>
          </w:tcPr>
          <w:p>
            <w:r>
              <w:rPr>
                <w:sz w:val="15"/>
              </w:rPr>
              <w:t>42</w:t>
            </w:r>
          </w:p>
        </w:tc>
        <w:tc>
          <w:tcPr>
            <w:tcW w:type="dxa" w:w="3969"/>
            <w:vAlign w:val="center"/>
          </w:tcPr>
          <w:p>
            <w:r>
              <w:rPr>
                <w:sz w:val="15"/>
              </w:rPr>
              <w:t>Práca postojačky, manipulácia s dielcami, opakované úkony.</w:t>
            </w:r>
          </w:p>
        </w:tc>
      </w:tr>
      <w:tr>
        <w:tc>
          <w:tcPr>
            <w:tcW w:type="dxa" w:w="1701"/>
            <w:vAlign w:val="center"/>
          </w:tcPr>
          <w:p>
            <w:r>
              <w:rPr>
                <w:sz w:val="15"/>
              </w:rPr>
              <w:t>Namáhavosť</w:t>
            </w:r>
          </w:p>
        </w:tc>
        <w:tc>
          <w:tcPr>
            <w:tcW w:type="dxa" w:w="2835"/>
            <w:vAlign w:val="center"/>
          </w:tcPr>
          <w:p>
            <w:r>
              <w:rPr>
                <w:sz w:val="15"/>
              </w:rPr>
              <w:t>Mentálna</w:t>
            </w:r>
          </w:p>
        </w:tc>
        <w:tc>
          <w:tcPr>
            <w:tcW w:type="dxa" w:w="1134"/>
            <w:vAlign w:val="center"/>
          </w:tcPr>
          <w:p>
            <w:r>
              <w:rPr>
                <w:sz w:val="15"/>
              </w:rPr>
              <w:t>4</w:t>
            </w:r>
          </w:p>
        </w:tc>
        <w:tc>
          <w:tcPr>
            <w:tcW w:type="dxa" w:w="1134"/>
            <w:vAlign w:val="center"/>
          </w:tcPr>
          <w:p>
            <w:r>
              <w:rPr>
                <w:sz w:val="15"/>
              </w:rPr>
              <w:t>56</w:t>
            </w:r>
          </w:p>
        </w:tc>
        <w:tc>
          <w:tcPr>
            <w:tcW w:type="dxa" w:w="3969"/>
            <w:vAlign w:val="center"/>
          </w:tcPr>
          <w:p>
            <w:r>
              <w:rPr>
                <w:sz w:val="15"/>
              </w:rPr>
              <w:t>Dlhodobé sústredenie; chyba môže spôsobiť nepodarok alebo poškodenie.</w:t>
            </w:r>
          </w:p>
        </w:tc>
      </w:tr>
      <w:tr>
        <w:tc>
          <w:tcPr>
            <w:tcW w:type="dxa" w:w="1701"/>
            <w:vAlign w:val="center"/>
          </w:tcPr>
          <w:p>
            <w:r>
              <w:rPr>
                <w:sz w:val="15"/>
              </w:rPr>
              <w:t>Namáhavosť</w:t>
            </w:r>
          </w:p>
        </w:tc>
        <w:tc>
          <w:tcPr>
            <w:tcW w:type="dxa" w:w="2835"/>
            <w:vAlign w:val="center"/>
          </w:tcPr>
          <w:p>
            <w:r>
              <w:rPr>
                <w:sz w:val="15"/>
              </w:rPr>
              <w:t>Emocionálna</w:t>
            </w:r>
          </w:p>
        </w:tc>
        <w:tc>
          <w:tcPr>
            <w:tcW w:type="dxa" w:w="1134"/>
            <w:vAlign w:val="center"/>
          </w:tcPr>
          <w:p>
            <w:r>
              <w:rPr>
                <w:sz w:val="15"/>
              </w:rPr>
              <w:t>1</w:t>
            </w:r>
          </w:p>
        </w:tc>
        <w:tc>
          <w:tcPr>
            <w:tcW w:type="dxa" w:w="1134"/>
            <w:vAlign w:val="center"/>
          </w:tcPr>
          <w:p>
            <w:r>
              <w:rPr>
                <w:sz w:val="15"/>
              </w:rPr>
              <w:t>14</w:t>
            </w:r>
          </w:p>
        </w:tc>
        <w:tc>
          <w:tcPr>
            <w:tcW w:type="dxa" w:w="3969"/>
            <w:vAlign w:val="center"/>
          </w:tcPr>
          <w:p>
            <w:r>
              <w:rPr>
                <w:sz w:val="15"/>
              </w:rPr>
              <w:t>Emocionálne náročné situácie nie sú významnou súčasťou práce.</w:t>
            </w:r>
          </w:p>
        </w:tc>
      </w:tr>
      <w:tr>
        <w:tc>
          <w:tcPr>
            <w:tcW w:type="dxa" w:w="1701"/>
            <w:vAlign w:val="center"/>
          </w:tcPr>
          <w:p>
            <w:r>
              <w:rPr>
                <w:sz w:val="15"/>
              </w:rPr>
              <w:t>Zodpovednosť</w:t>
            </w:r>
          </w:p>
        </w:tc>
        <w:tc>
          <w:tcPr>
            <w:tcW w:type="dxa" w:w="2835"/>
            <w:vAlign w:val="center"/>
          </w:tcPr>
          <w:p>
            <w:r>
              <w:rPr>
                <w:sz w:val="15"/>
              </w:rPr>
              <w:t>Za ľudí a riadenie</w:t>
            </w:r>
          </w:p>
        </w:tc>
        <w:tc>
          <w:tcPr>
            <w:tcW w:type="dxa" w:w="1134"/>
            <w:vAlign w:val="center"/>
          </w:tcPr>
          <w:p>
            <w:r>
              <w:rPr>
                <w:sz w:val="15"/>
              </w:rPr>
              <w:t>0</w:t>
            </w:r>
          </w:p>
        </w:tc>
        <w:tc>
          <w:tcPr>
            <w:tcW w:type="dxa" w:w="1134"/>
            <w:vAlign w:val="center"/>
          </w:tcPr>
          <w:p>
            <w:r>
              <w:rPr>
                <w:sz w:val="15"/>
              </w:rPr>
              <w:t>0</w:t>
            </w:r>
          </w:p>
        </w:tc>
        <w:tc>
          <w:tcPr>
            <w:tcW w:type="dxa" w:w="3969"/>
            <w:vAlign w:val="center"/>
          </w:tcPr>
          <w:p>
            <w:r>
              <w:rPr>
                <w:sz w:val="15"/>
              </w:rPr>
              <w:t>Bez riadiacej alebo koordinačnej zodpovednosti.</w:t>
            </w:r>
          </w:p>
        </w:tc>
      </w:tr>
      <w:tr>
        <w:tc>
          <w:tcPr>
            <w:tcW w:type="dxa" w:w="1701"/>
            <w:vAlign w:val="center"/>
          </w:tcPr>
          <w:p>
            <w:r>
              <w:rPr>
                <w:sz w:val="15"/>
              </w:rPr>
              <w:t>Zodpovednosť</w:t>
            </w:r>
          </w:p>
        </w:tc>
        <w:tc>
          <w:tcPr>
            <w:tcW w:type="dxa" w:w="2835"/>
            <w:vAlign w:val="center"/>
          </w:tcPr>
          <w:p>
            <w:r>
              <w:rPr>
                <w:sz w:val="15"/>
              </w:rPr>
              <w:t>Za finančné prostriedky</w:t>
            </w:r>
          </w:p>
        </w:tc>
        <w:tc>
          <w:tcPr>
            <w:tcW w:type="dxa" w:w="1134"/>
            <w:vAlign w:val="center"/>
          </w:tcPr>
          <w:p>
            <w:r>
              <w:rPr>
                <w:sz w:val="15"/>
              </w:rPr>
              <w:t>1</w:t>
            </w:r>
          </w:p>
        </w:tc>
        <w:tc>
          <w:tcPr>
            <w:tcW w:type="dxa" w:w="1134"/>
            <w:vAlign w:val="center"/>
          </w:tcPr>
          <w:p>
            <w:r>
              <w:rPr>
                <w:sz w:val="15"/>
              </w:rPr>
              <w:t>16</w:t>
            </w:r>
          </w:p>
        </w:tc>
        <w:tc>
          <w:tcPr>
            <w:tcW w:type="dxa" w:w="3969"/>
            <w:vAlign w:val="center"/>
          </w:tcPr>
          <w:p>
            <w:r>
              <w:rPr>
                <w:sz w:val="15"/>
              </w:rPr>
              <w:t>Nepriame ovplyvnenie nákladov cez spotrebu a nepodarky.</w:t>
            </w:r>
          </w:p>
        </w:tc>
      </w:tr>
      <w:tr>
        <w:tc>
          <w:tcPr>
            <w:tcW w:type="dxa" w:w="1701"/>
            <w:vAlign w:val="center"/>
          </w:tcPr>
          <w:p>
            <w:r>
              <w:rPr>
                <w:sz w:val="15"/>
              </w:rPr>
              <w:t>Zodpovednosť</w:t>
            </w:r>
          </w:p>
        </w:tc>
        <w:tc>
          <w:tcPr>
            <w:tcW w:type="dxa" w:w="2835"/>
            <w:vAlign w:val="center"/>
          </w:tcPr>
          <w:p>
            <w:r>
              <w:rPr>
                <w:sz w:val="15"/>
              </w:rPr>
              <w:t>Za hmotné hodnoty</w:t>
            </w:r>
          </w:p>
        </w:tc>
        <w:tc>
          <w:tcPr>
            <w:tcW w:type="dxa" w:w="1134"/>
            <w:vAlign w:val="center"/>
          </w:tcPr>
          <w:p>
            <w:r>
              <w:rPr>
                <w:sz w:val="15"/>
              </w:rPr>
              <w:t>4</w:t>
            </w:r>
          </w:p>
        </w:tc>
        <w:tc>
          <w:tcPr>
            <w:tcW w:type="dxa" w:w="1134"/>
            <w:vAlign w:val="center"/>
          </w:tcPr>
          <w:p>
            <w:r>
              <w:rPr>
                <w:sz w:val="15"/>
              </w:rPr>
              <w:t>56</w:t>
            </w:r>
          </w:p>
        </w:tc>
        <w:tc>
          <w:tcPr>
            <w:tcW w:type="dxa" w:w="3969"/>
            <w:vAlign w:val="center"/>
          </w:tcPr>
          <w:p>
            <w:r>
              <w:rPr>
                <w:sz w:val="15"/>
              </w:rPr>
              <w:t>Drahý stroj, nástroje, obrobky a materiál.</w:t>
            </w:r>
          </w:p>
        </w:tc>
      </w:tr>
      <w:tr>
        <w:tc>
          <w:tcPr>
            <w:tcW w:type="dxa" w:w="1701"/>
            <w:vAlign w:val="center"/>
          </w:tcPr>
          <w:p>
            <w:r>
              <w:rPr>
                <w:sz w:val="15"/>
              </w:rPr>
              <w:t>Zodpovednosť</w:t>
            </w:r>
          </w:p>
        </w:tc>
        <w:tc>
          <w:tcPr>
            <w:tcW w:type="dxa" w:w="2835"/>
            <w:vAlign w:val="center"/>
          </w:tcPr>
          <w:p>
            <w:r>
              <w:rPr>
                <w:sz w:val="15"/>
              </w:rPr>
              <w:t>Za informácie a dokumentáciu</w:t>
            </w:r>
          </w:p>
        </w:tc>
        <w:tc>
          <w:tcPr>
            <w:tcW w:type="dxa" w:w="1134"/>
            <w:vAlign w:val="center"/>
          </w:tcPr>
          <w:p>
            <w:r>
              <w:rPr>
                <w:sz w:val="15"/>
              </w:rPr>
              <w:t>2</w:t>
            </w:r>
          </w:p>
        </w:tc>
        <w:tc>
          <w:tcPr>
            <w:tcW w:type="dxa" w:w="1134"/>
            <w:vAlign w:val="center"/>
          </w:tcPr>
          <w:p>
            <w:r>
              <w:rPr>
                <w:sz w:val="15"/>
              </w:rPr>
              <w:t>28</w:t>
            </w:r>
          </w:p>
        </w:tc>
        <w:tc>
          <w:tcPr>
            <w:tcW w:type="dxa" w:w="3969"/>
            <w:vAlign w:val="center"/>
          </w:tcPr>
          <w:p>
            <w:r>
              <w:rPr>
                <w:sz w:val="15"/>
              </w:rPr>
              <w:t>Výrobná dokumentácia a evidencia merania.</w:t>
            </w:r>
          </w:p>
        </w:tc>
      </w:tr>
      <w:tr>
        <w:tc>
          <w:tcPr>
            <w:tcW w:type="dxa" w:w="1701"/>
            <w:vAlign w:val="center"/>
          </w:tcPr>
          <w:p>
            <w:r>
              <w:rPr>
                <w:sz w:val="15"/>
              </w:rPr>
              <w:t>Pracovné podmienky</w:t>
            </w:r>
          </w:p>
        </w:tc>
        <w:tc>
          <w:tcPr>
            <w:tcW w:type="dxa" w:w="2835"/>
            <w:vAlign w:val="center"/>
          </w:tcPr>
          <w:p>
            <w:r>
              <w:rPr>
                <w:sz w:val="15"/>
              </w:rPr>
              <w:t>Fyzické prostredie</w:t>
            </w:r>
          </w:p>
        </w:tc>
        <w:tc>
          <w:tcPr>
            <w:tcW w:type="dxa" w:w="1134"/>
            <w:vAlign w:val="center"/>
          </w:tcPr>
          <w:p>
            <w:r>
              <w:rPr>
                <w:sz w:val="15"/>
              </w:rPr>
              <w:t>4</w:t>
            </w:r>
          </w:p>
        </w:tc>
        <w:tc>
          <w:tcPr>
            <w:tcW w:type="dxa" w:w="1134"/>
            <w:vAlign w:val="center"/>
          </w:tcPr>
          <w:p>
            <w:r>
              <w:rPr>
                <w:sz w:val="15"/>
              </w:rPr>
              <w:t>40</w:t>
            </w:r>
          </w:p>
        </w:tc>
        <w:tc>
          <w:tcPr>
            <w:tcW w:type="dxa" w:w="3969"/>
            <w:vAlign w:val="center"/>
          </w:tcPr>
          <w:p>
            <w:r>
              <w:rPr>
                <w:sz w:val="15"/>
              </w:rPr>
              <w:t>Hluk, emulzie a prevádzkové riziká výroby.</w:t>
            </w:r>
          </w:p>
        </w:tc>
      </w:tr>
      <w:tr>
        <w:tc>
          <w:tcPr>
            <w:tcW w:type="dxa" w:w="1701"/>
            <w:vAlign w:val="center"/>
          </w:tcPr>
          <w:p>
            <w:r>
              <w:rPr>
                <w:sz w:val="15"/>
              </w:rPr>
              <w:t>Pracovné podmienky</w:t>
            </w:r>
          </w:p>
        </w:tc>
        <w:tc>
          <w:tcPr>
            <w:tcW w:type="dxa" w:w="2835"/>
            <w:vAlign w:val="center"/>
          </w:tcPr>
          <w:p>
            <w:r>
              <w:rPr>
                <w:sz w:val="15"/>
              </w:rPr>
              <w:t>Organizačné podmienky</w:t>
            </w:r>
          </w:p>
        </w:tc>
        <w:tc>
          <w:tcPr>
            <w:tcW w:type="dxa" w:w="1134"/>
            <w:vAlign w:val="center"/>
          </w:tcPr>
          <w:p>
            <w:r>
              <w:rPr>
                <w:sz w:val="15"/>
              </w:rPr>
              <w:t>3</w:t>
            </w:r>
          </w:p>
        </w:tc>
        <w:tc>
          <w:tcPr>
            <w:tcW w:type="dxa" w:w="1134"/>
            <w:vAlign w:val="center"/>
          </w:tcPr>
          <w:p>
            <w:r>
              <w:rPr>
                <w:sz w:val="15"/>
              </w:rPr>
              <w:t>30</w:t>
            </w:r>
          </w:p>
        </w:tc>
        <w:tc>
          <w:tcPr>
            <w:tcW w:type="dxa" w:w="3969"/>
            <w:vAlign w:val="center"/>
          </w:tcPr>
          <w:p>
            <w:r>
              <w:rPr>
                <w:sz w:val="15"/>
              </w:rPr>
              <w:t>Dvojzmenná prevádzka a termínová záťaž.</w:t>
            </w:r>
          </w:p>
        </w:tc>
      </w:tr>
      <w:tr>
        <w:tc>
          <w:tcPr>
            <w:tcW w:type="dxa" w:w="1701"/>
            <w:vAlign w:val="center"/>
          </w:tcPr>
          <w:p>
            <w:r>
              <w:rPr>
                <w:sz w:val="15"/>
              </w:rPr>
              <w:t>Pracovné podmienky</w:t>
            </w:r>
          </w:p>
        </w:tc>
        <w:tc>
          <w:tcPr>
            <w:tcW w:type="dxa" w:w="2835"/>
            <w:vAlign w:val="center"/>
          </w:tcPr>
          <w:p>
            <w:r>
              <w:rPr>
                <w:sz w:val="15"/>
              </w:rPr>
              <w:t>Psychosociálne riziká</w:t>
            </w:r>
          </w:p>
        </w:tc>
        <w:tc>
          <w:tcPr>
            <w:tcW w:type="dxa" w:w="1134"/>
            <w:vAlign w:val="center"/>
          </w:tcPr>
          <w:p>
            <w:r>
              <w:rPr>
                <w:sz w:val="15"/>
              </w:rPr>
              <w:t>2</w:t>
            </w:r>
          </w:p>
        </w:tc>
        <w:tc>
          <w:tcPr>
            <w:tcW w:type="dxa" w:w="1134"/>
            <w:vAlign w:val="center"/>
          </w:tcPr>
          <w:p>
            <w:r>
              <w:rPr>
                <w:sz w:val="15"/>
              </w:rPr>
              <w:t>20</w:t>
            </w:r>
          </w:p>
        </w:tc>
        <w:tc>
          <w:tcPr>
            <w:tcW w:type="dxa" w:w="3969"/>
            <w:vAlign w:val="center"/>
          </w:tcPr>
          <w:p>
            <w:r>
              <w:rPr>
                <w:sz w:val="15"/>
              </w:rPr>
              <w:t>Bežný tlak na kvalitu a výkon, bez obzvlášť závažných rizík.</w:t>
            </w:r>
          </w:p>
        </w:tc>
      </w:tr>
    </w:tbl>
    <w:p>
      <w:pPr>
        <w:pStyle w:val="Heading1"/>
      </w:pPr>
      <w:r>
        <w:t>Výsledok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tblHeader w:val="true"/>
        </w:trPr>
        <w:tc>
          <w:tcPr>
            <w:tcW w:type="dxa" w:w="5669"/>
            <w:shd w:fill="17365D"/>
            <w:vAlign w:val="center"/>
          </w:tcPr>
          <w:p>
            <w:r>
              <w:rPr>
                <w:b/>
                <w:color w:val="FFFFFF"/>
                <w:sz w:val="18"/>
              </w:rPr>
              <w:t>Faktor</w:t>
            </w:r>
          </w:p>
        </w:tc>
        <w:tc>
          <w:tcPr>
            <w:tcW w:type="dxa" w:w="2268"/>
            <w:shd w:fill="17365D"/>
            <w:vAlign w:val="center"/>
          </w:tcPr>
          <w:p>
            <w:r>
              <w:rPr>
                <w:b/>
                <w:color w:val="FFFFFF"/>
                <w:sz w:val="18"/>
              </w:rPr>
              <w:t>Body</w:t>
            </w:r>
          </w:p>
        </w:tc>
      </w:tr>
      <w:tr>
        <w:tc>
          <w:tcPr>
            <w:tcW w:type="dxa" w:w="5669"/>
            <w:vAlign w:val="center"/>
          </w:tcPr>
          <w:p>
            <w:r>
              <w:rPr>
                <w:sz w:val="18"/>
              </w:rPr>
              <w:t>Zložitosť</w:t>
            </w:r>
          </w:p>
        </w:tc>
        <w:tc>
          <w:tcPr>
            <w:tcW w:type="dxa" w:w="2268"/>
            <w:vAlign w:val="center"/>
          </w:tcPr>
          <w:p>
            <w:r>
              <w:rPr>
                <w:sz w:val="18"/>
              </w:rPr>
              <w:t>186</w:t>
            </w:r>
          </w:p>
        </w:tc>
      </w:tr>
      <w:tr>
        <w:tc>
          <w:tcPr>
            <w:tcW w:type="dxa" w:w="5669"/>
            <w:vAlign w:val="center"/>
          </w:tcPr>
          <w:p>
            <w:r>
              <w:rPr>
                <w:sz w:val="18"/>
              </w:rPr>
              <w:t>Namáhavosť</w:t>
            </w:r>
          </w:p>
        </w:tc>
        <w:tc>
          <w:tcPr>
            <w:tcW w:type="dxa" w:w="2268"/>
            <w:vAlign w:val="center"/>
          </w:tcPr>
          <w:p>
            <w:r>
              <w:rPr>
                <w:sz w:val="18"/>
              </w:rPr>
              <w:t>112</w:t>
            </w:r>
          </w:p>
        </w:tc>
      </w:tr>
      <w:tr>
        <w:tc>
          <w:tcPr>
            <w:tcW w:type="dxa" w:w="5669"/>
            <w:vAlign w:val="center"/>
          </w:tcPr>
          <w:p>
            <w:r>
              <w:rPr>
                <w:sz w:val="18"/>
              </w:rPr>
              <w:t>Zodpovednosť</w:t>
            </w:r>
          </w:p>
        </w:tc>
        <w:tc>
          <w:tcPr>
            <w:tcW w:type="dxa" w:w="2268"/>
            <w:vAlign w:val="center"/>
          </w:tcPr>
          <w:p>
            <w:r>
              <w:rPr>
                <w:sz w:val="18"/>
              </w:rPr>
              <w:t>100</w:t>
            </w:r>
          </w:p>
        </w:tc>
      </w:tr>
      <w:tr>
        <w:tc>
          <w:tcPr>
            <w:tcW w:type="dxa" w:w="5669"/>
            <w:vAlign w:val="center"/>
          </w:tcPr>
          <w:p>
            <w:r>
              <w:rPr>
                <w:sz w:val="18"/>
              </w:rPr>
              <w:t>Pracovné podmienky</w:t>
            </w:r>
          </w:p>
        </w:tc>
        <w:tc>
          <w:tcPr>
            <w:tcW w:type="dxa" w:w="2268"/>
            <w:vAlign w:val="center"/>
          </w:tcPr>
          <w:p>
            <w:r>
              <w:rPr>
                <w:sz w:val="18"/>
              </w:rPr>
              <w:t>90</w:t>
            </w:r>
          </w:p>
        </w:tc>
      </w:tr>
      <w:tr>
        <w:tc>
          <w:tcPr>
            <w:tcW w:type="dxa" w:w="5669"/>
            <w:vAlign w:val="center"/>
          </w:tcPr>
          <w:p>
            <w:r>
              <w:rPr>
                <w:sz w:val="18"/>
              </w:rPr>
              <w:t>Celkové skóre</w:t>
            </w:r>
          </w:p>
        </w:tc>
        <w:tc>
          <w:tcPr>
            <w:tcW w:type="dxa" w:w="2268"/>
            <w:vAlign w:val="center"/>
          </w:tcPr>
          <w:p>
            <w:r>
              <w:rPr>
                <w:sz w:val="18"/>
              </w:rPr>
              <w:t>488</w:t>
            </w:r>
          </w:p>
        </w:tc>
      </w:tr>
    </w:tbl>
    <w:p>
      <w:r>
        <w:t>Celkové skóre vzniklo súčtom bodov za všetkých 14 subfaktorov. Až po porovnaní so všetkými ostatnými pracovnými miestami sa rozhodne, do ktorého bodového intervalu a kategórie bude miesto patriť.</w:t>
      </w:r>
    </w:p>
    <w:p>
      <w:pPr>
        <w:pStyle w:val="Heading1"/>
      </w:pPr>
      <w:r>
        <w:t>Otázky na overenie</w:t>
      </w:r>
    </w:p>
    <w:p>
      <w:pPr>
        <w:pStyle w:val="ListBullet"/>
      </w:pPr>
      <w:r>
        <w:t>☐ Má operátor právo meniť program alebo iba korekcie?</w:t>
      </w:r>
    </w:p>
    <w:p>
      <w:pPr>
        <w:pStyle w:val="ListBullet"/>
      </w:pPr>
      <w:r>
        <w:t>☐ Aké hmotnosti dielcov bežne manipuluje a akou technikou?</w:t>
      </w:r>
    </w:p>
    <w:p>
      <w:pPr>
        <w:pStyle w:val="ListBullet"/>
      </w:pPr>
      <w:r>
        <w:t>☐ Je práca dvojzmenná, trojzmenná alebo s nočnými zmenami?</w:t>
      </w:r>
    </w:p>
    <w:p>
      <w:pPr>
        <w:pStyle w:val="ListBullet"/>
      </w:pPr>
      <w:r>
        <w:t>☐ Aká je reálna frekvencia hluku, emulzií a rizikových zásahov?</w:t>
      </w:r>
    </w:p>
    <w:p>
      <w:pPr>
        <w:pStyle w:val="ListBullet"/>
      </w:pPr>
      <w:r>
        <w:t>☐ Zaúča pracovník ostatných? Ak áno, ide o pravidelnú požiadavku miesta?</w:t>
      </w:r>
    </w:p>
    <w:p>
      <w:pPr>
        <w:pStyle w:val="Heading2"/>
      </w:pPr>
      <w:r>
        <w:t>Zdroje a právny rámec</w:t>
      </w:r>
    </w:p>
    <w:p>
      <w:r>
        <w:rPr>
          <w:color w:val="555555"/>
          <w:sz w:val="16"/>
        </w:rPr>
        <w:t>Zákon č. 76/2026 Z. z.: https://www.slov-lex.sk/ezbierky/pravne-predpisy/SK/ZZ/2026/76/</w:t>
      </w:r>
    </w:p>
    <w:p>
      <w:r>
        <w:rPr>
          <w:color w:val="555555"/>
          <w:sz w:val="16"/>
        </w:rPr>
        <w:t>Metodika a analytický nástroj MPSVR SR: https://www.employment.gov.sk/sk/ministerstvo/rovnost/odmenovanie/dokumenty.html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07" w:left="1020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color w:val="555555"/>
        <w:sz w:val="16"/>
      </w:rPr>
      <w:t xml:space="preserve">Modelová spoločnosť STROJMONT, s. r. o.  |  aktualizované 31. 7. 2026  |  </w:t>
    </w:r>
    <w:r>
      <w:t xml:space="preserve">Strana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F6D70"/>
        <w:sz w:val="16"/>
      </w:rPr>
      <w:t>ROVNAKÉ ODMEŇOVANIE  |  pracovný balík Profiúčtovníctvo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7365D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7365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17365D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7365D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eldLabel">
    <w:name w:val="Field Label"/>
    <w:pPr>
      <w:spacing w:after="20"/>
    </w:pPr>
    <w:rPr>
      <w:rFonts w:ascii="Aptos" w:hAnsi="Aptos"/>
      <w:b/>
      <w:color w:val="555555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 modelove hodnotenie operator CNC.docx</dc:title>
  <dc:subject>Rovnaké odmeňovanie - pracovný vzor</dc:subject>
  <dc:creator>Profiúčtovníctvo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